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.ms-dds"/>
  <Default Extension="heic" ContentType="image/heic"/>
  <Default Extension="svg" ContentType="image/svg+xml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body>
    <w:p>
      <w:pPr>
        <w:pStyle w:val="Normal"/>
        <w:tabs>
          <w:tab w:val="left" w:pos="57"/>
          <w:tab w:val="left" w:pos="114"/>
          <w:tab w:val="left" w:pos="171"/>
          <w:tab w:val="left" w:pos="228"/>
          <w:tab w:val="left" w:pos="285"/>
          <w:tab w:val="left" w:pos="342"/>
          <w:tab w:val="left" w:pos="399"/>
          <w:tab w:val="left" w:pos="456"/>
          <w:tab w:val="left" w:pos="513"/>
          <w:tab w:val="left" w:pos="570"/>
          <w:tab w:val="left" w:pos="627"/>
          <w:tab w:val="left" w:pos="684"/>
          <w:tab w:val="left" w:pos="741"/>
          <w:tab w:val="left" w:pos="798"/>
        </w:tabs>
        <w:spacing w:after="282"/>
        <w:jc w:val="center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drawing>
          <wp:inline distT="0" distB="0" distL="0" distR="0">
            <wp:extent cx="1276350" cy="1076325"/>
            <wp:docPr id="1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00005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left" w:pos="177"/>
          <w:tab w:val="left" w:pos="228"/>
          <w:tab w:val="left" w:pos="285"/>
          <w:tab w:val="left" w:pos="342"/>
          <w:tab w:val="left" w:pos="399"/>
          <w:tab w:val="left" w:pos="456"/>
          <w:tab w:val="left" w:pos="513"/>
          <w:tab w:val="left" w:pos="570"/>
          <w:tab w:val="left" w:pos="627"/>
          <w:tab w:val="left" w:pos="684"/>
          <w:tab w:val="left" w:pos="741"/>
          <w:tab w:val="left" w:pos="798"/>
          <w:tab w:val="left" w:pos="855"/>
          <w:tab w:val="left" w:pos="912"/>
        </w:tabs>
        <w:spacing w:after="211"/>
        <w:ind w:left="177" w:hanging="10"/>
        <w:jc w:val="center"/>
        <w:rPr>
          <w:rFonts w:ascii="Arial" w:hAnsi="Arial" w:eastAsia="Arial" w:cs="Arial"/>
          <w:b/>
          <w:bCs/>
          <w:color w:val="005239"/>
          <w:lang w:val="en-GB" w:eastAsia="en-GB" w:bidi="en-GB"/>
        </w:rPr>
      </w:pPr>
      <w:r>
        <w:rPr>
          <w:rFonts w:ascii="Arial" w:hAnsi="Arial" w:eastAsia="Arial" w:cs="Arial"/>
          <w:b/>
          <w:bCs/>
          <w:color w:val="005239"/>
          <w:lang w:val="en-GB" w:eastAsia="en-GB" w:bidi="en-GB"/>
        </w:rPr>
        <w:t xml:space="preserve">Role Description and Employee Specification </w:t>
      </w: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8"/>
        <w:gridCol w:w="2509"/>
        <w:gridCol w:w="2436"/>
        <w:gridCol w:w="2693"/>
      </w:tblGrid>
      <w:tr>
        <w:tc>
          <w:tcPr>
            <w:tcW w:w="2528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Job Title:</w:t>
            </w:r>
          </w:p>
        </w:tc>
        <w:tc>
          <w:tcPr>
            <w:tcW w:w="2509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Senior Planning Officer</w:t>
            </w:r>
          </w:p>
        </w:tc>
        <w:tc>
          <w:tcPr>
            <w:tcW w:w="2436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Location:</w:t>
            </w:r>
          </w:p>
        </w:tc>
        <w:tc>
          <w:tcPr>
            <w:tcW w:w="269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Witney </w:t>
            </w:r>
          </w:p>
        </w:tc>
      </w:tr>
      <w:tr>
        <w:tc>
          <w:tcPr>
            <w:tcW w:w="2528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Department:</w:t>
            </w:r>
          </w:p>
        </w:tc>
        <w:tc>
          <w:tcPr>
            <w:tcW w:w="2509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Development Management</w:t>
            </w:r>
          </w:p>
        </w:tc>
        <w:tc>
          <w:tcPr>
            <w:tcW w:w="2436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Directorate: </w:t>
            </w:r>
          </w:p>
        </w:tc>
        <w:tc>
          <w:tcPr>
            <w:tcW w:w="269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Governance and Regulatory Services</w:t>
            </w:r>
          </w:p>
        </w:tc>
      </w:tr>
      <w:tr>
        <w:tc>
          <w:tcPr>
            <w:tcW w:w="2528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Reports to: </w:t>
            </w:r>
          </w:p>
        </w:tc>
        <w:tc>
          <w:tcPr>
            <w:tcW w:w="2509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Principal Planning Officer</w:t>
            </w:r>
          </w:p>
        </w:tc>
        <w:tc>
          <w:tcPr>
            <w:tcW w:w="2436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Working Hours: </w:t>
            </w:r>
          </w:p>
        </w:tc>
        <w:tc>
          <w:tcPr>
            <w:tcW w:w="269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0" w:line="240" w:lineRule="auto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37 hours per week </w:t>
            </w:r>
          </w:p>
        </w:tc>
      </w:tr>
      <w:tr>
        <w:tc>
          <w:tcPr>
            <w:tcW w:w="2528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Salary:</w:t>
            </w:r>
          </w:p>
        </w:tc>
        <w:tc>
          <w:tcPr>
            <w:tcW w:w="2509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sz w:val="24"/>
                <w:szCs w:val="24"/>
                <w:lang w:val="en-GB" w:eastAsia="en-GB" w:bidi="en-GB"/>
              </w:rPr>
              <w:t xml:space="preserve">£41,853 - £44,691 </w:t>
            </w:r>
            <w:r>
              <w:rPr>
                <w:rFonts w:ascii="Arial" w:hAnsi="Arial" w:eastAsia="Arial" w:cs="Arial"/>
                <w:sz w:val="24"/>
                <w:szCs w:val="24"/>
                <w:lang w:val="en-GB" w:eastAsia="en-GB" w:bidi="en-GB"/>
              </w:rPr>
              <w:t xml:space="preserve">per annum</w:t>
            </w:r>
          </w:p>
        </w:tc>
        <w:tc>
          <w:tcPr>
            <w:tcW w:w="2436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Peer Group:</w:t>
            </w:r>
          </w:p>
        </w:tc>
        <w:tc>
          <w:tcPr>
            <w:tcW w:w="269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0" w:line="240" w:lineRule="auto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PGI-8</w:t>
            </w:r>
          </w:p>
        </w:tc>
      </w:tr>
      <w:tr>
        <w:tc>
          <w:tcPr>
            <w:tcW w:w="2528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Business World Post Number:</w:t>
            </w:r>
          </w:p>
        </w:tc>
        <w:tc>
          <w:tcPr>
            <w:tcW w:w="2509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lang w:val="en-GB" w:eastAsia="en-GB" w:bidi="en-GB"/>
              </w:rPr>
            </w:pPr>
          </w:p>
        </w:tc>
        <w:tc>
          <w:tcPr>
            <w:tcW w:w="2436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Job Group:</w:t>
            </w:r>
          </w:p>
        </w:tc>
        <w:tc>
          <w:tcPr>
            <w:tcW w:w="269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0" w:line="240" w:lineRule="auto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Specialist Level 2</w:t>
            </w:r>
          </w:p>
        </w:tc>
      </w:tr>
      <w:tr>
        <w:tc>
          <w:tcPr>
            <w:tcW w:w="2528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Contract Type: </w:t>
            </w:r>
          </w:p>
        </w:tc>
        <w:tc>
          <w:tcPr>
            <w:tcW w:w="2509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Permanent</w:t>
            </w:r>
          </w:p>
        </w:tc>
        <w:tc>
          <w:tcPr>
            <w:tcW w:w="2436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Direct Reports:</w:t>
            </w:r>
          </w:p>
        </w:tc>
        <w:tc>
          <w:tcPr>
            <w:tcW w:w="269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0" w:line="240" w:lineRule="auto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N/A</w:t>
            </w:r>
          </w:p>
        </w:tc>
      </w:tr>
    </w:tbl>
    <w:p>
      <w:pPr>
        <w:pStyle w:val="Normal"/>
        <w:tabs>
          <w:tab w:val="left" w:pos="177"/>
          <w:tab w:val="left" w:pos="228"/>
          <w:tab w:val="left" w:pos="285"/>
          <w:tab w:val="left" w:pos="342"/>
          <w:tab w:val="left" w:pos="399"/>
          <w:tab w:val="left" w:pos="456"/>
          <w:tab w:val="left" w:pos="513"/>
          <w:tab w:val="left" w:pos="570"/>
          <w:tab w:val="left" w:pos="627"/>
          <w:tab w:val="left" w:pos="684"/>
          <w:tab w:val="left" w:pos="741"/>
          <w:tab w:val="left" w:pos="798"/>
          <w:tab w:val="left" w:pos="855"/>
          <w:tab w:val="left" w:pos="912"/>
        </w:tabs>
        <w:spacing w:after="211"/>
        <w:ind w:left="177" w:hanging="10"/>
        <w:jc w:val="center"/>
        <w:rPr>
          <w:rFonts w:ascii="Arial" w:hAnsi="Arial" w:eastAsia="Arial" w:cs="Arial"/>
          <w:color w:val="005239"/>
          <w:lang w:val="en-GB" w:eastAsia="en-GB" w:bidi="en-GB"/>
        </w:rPr>
      </w:pP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2"/>
        <w:gridCol w:w="7574"/>
      </w:tblGrid>
      <w:tr>
        <w:tc>
          <w:tcPr>
            <w:tcW w:w="251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color w:val="005239"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Overall purpose of the Post:  </w:t>
            </w:r>
          </w:p>
        </w:tc>
        <w:tc>
          <w:tcPr>
            <w:tcW w:w="7574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0" w:line="238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Providing a high level of technical expertise, advice and direction to internal and external customers in relation to Planning matters, including the management of sensitive, open ended and complex case or project-based work, whilst providing robust, sound judgements. To supervise Technicians and Planning Officers.</w:t>
            </w:r>
          </w:p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0"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</w:p>
        </w:tc>
      </w:tr>
      <w:tr>
        <w:tc>
          <w:tcPr>
            <w:tcW w:w="251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Key Tasks and Responsibilities: </w:t>
            </w:r>
          </w:p>
        </w:tc>
        <w:tc>
          <w:tcPr>
            <w:tcW w:w="7574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0"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Effectively manage and prioritise your own workload, largely unsupervised, working pro-actively with all officers to meet statutory deadlines 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Working independently on Development Management proposals for the erection of small residential developments and new commercial developments.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Departmental specialist and lead officer FRA, ES, high hedges etc.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Demonstrable promotion of good team performance management and service improvement. 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Active and substantial involvement in the review and monitoring of the Services policies and procedures.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Leading multi-disciplinary teams dealing with specific sites within the District.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Presentation of own applications/ enforcement cases at briefing sessions.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Leading Member site visits.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Attend Cabinet Meetings and Member Workshops.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Provision of planning policy advice in person, on the telephone and in writing.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Provide supervision, mentoring and support for Technicians and Planning Officer colleagues 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Work with elected Councillors, where appropriate, to deliver the service 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Keep up-to-date with changing Planning Legislation </w:t>
            </w:r>
          </w:p>
          <w:p>
            <w:pPr>
              <w:pStyle w:val="ListParagraph"/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</w:p>
        </w:tc>
      </w:tr>
      <w:tr>
        <w:tc>
          <w:tcPr>
            <w:tcW w:w="251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Essential Requirements – Knowledge, Qualifications, Skills, Abilities and Experience:</w:t>
            </w:r>
          </w:p>
        </w:tc>
        <w:tc>
          <w:tcPr>
            <w:tcW w:w="7574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0" w:line="240" w:lineRule="auto"/>
              <w:ind w:right="204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right="204"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Planning or related degree.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right="204"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Eligibility for full Membership of the RTPI.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right="204"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Substantial (likely to be more than 5 years) relevant professional experience.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right="204"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Experience of working flexibly as part of a team and collaborating with colleagues and stakeholders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right="204"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Experience of being involved in continuously improving services and developing products to meet customer need 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right="204"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Ability to remain calm and confident when dealing with challenging customers and environments 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right="204"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Ability to resolve complex issues by negotiation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right="204"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Deliver commitments and take ownership of own caseload, reshaping of plans to deliver required outcomes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right="204"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Demonstrate commitment and resilience to succeed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right="204"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Ability to work independently under pressure and within tight deadlines 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right="204"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Excellent written and verbal communication skills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right="204"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Competent in using a range of technology and software packages, including Microsoft and Google</w:t>
            </w:r>
          </w:p>
          <w:p>
            <w:pPr>
              <w:pStyle w:val="ListParagraph"/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right="204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</w:p>
        </w:tc>
      </w:tr>
      <w:tr>
        <w:tc>
          <w:tcPr>
            <w:tcW w:w="251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2"/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</w:tabs>
              <w:spacing w:after="0" w:line="240" w:lineRule="auto"/>
              <w:ind w:left="2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Desirable </w:t>
            </w:r>
          </w:p>
          <w:p>
            <w:pPr>
              <w:pStyle w:val="Normal"/>
              <w:tabs>
                <w:tab w:val="left" w:pos="2"/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</w:tabs>
              <w:spacing w:after="0" w:line="240" w:lineRule="auto"/>
              <w:ind w:left="2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Requirements </w:t>
            </w:r>
          </w:p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211" w:line="240" w:lineRule="auto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Qualifications, Skills and Abilities:</w:t>
            </w:r>
          </w:p>
        </w:tc>
        <w:tc>
          <w:tcPr>
            <w:tcW w:w="7574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0" w:line="240" w:lineRule="auto"/>
              <w:ind w:right="204"/>
              <w:jc w:val="both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right="204"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Relevant recognised academic or professional qualification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right="204"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Knowledge, understanding or experience of project management</w:t>
            </w:r>
          </w:p>
          <w:p>
            <w:pPr>
              <w:pStyle w:val="ListParagraph"/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right="204"/>
              <w:jc w:val="both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</w:p>
        </w:tc>
      </w:tr>
      <w:tr>
        <w:tc>
          <w:tcPr>
            <w:tcW w:w="251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2"/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</w:tabs>
              <w:spacing w:after="0" w:line="240" w:lineRule="auto"/>
              <w:ind w:left="2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General Accountabilities:</w:t>
            </w:r>
          </w:p>
        </w:tc>
        <w:tc>
          <w:tcPr>
            <w:tcW w:w="7574" w:type="dxa"/>
            <w:shd w:val="clear" w:color="auto" w:fill="auto"/>
            <w:vAlign w:val="top"/>
          </w:tcPr>
          <w:p>
            <w:pPr>
              <w:pStyle w:val="ListParagraph"/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left="0" w:right="229"/>
              <w:jc w:val="both"/>
              <w:rPr>
                <w:rFonts w:ascii="Arial" w:hAnsi="Arial" w:eastAsia="Arial" w:cs="Arial"/>
                <w:color w:val="auto"/>
                <w:lang w:val="en-GB" w:eastAsia="en-GB" w:bidi="en-GB"/>
              </w:rPr>
            </w:pPr>
          </w:p>
          <w:p>
            <w:pPr>
              <w:pStyle w:val="ListParagraph"/>
              <w:numPr>
                <w:ilvl w:val="0"/>
                <w:numId w:val="2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left="360" w:right="229" w:hanging="360"/>
              <w:jc w:val="both"/>
              <w:rPr>
                <w:rFonts w:ascii="Arial" w:hAnsi="Arial" w:eastAsia="Arial" w:cs="Arial"/>
                <w:color w:val="auto"/>
                <w:lang w:val="en-GB" w:eastAsia="en-GB" w:bidi="en-GB"/>
              </w:rPr>
            </w:pPr>
            <w:r>
              <w:rPr>
                <w:rFonts w:ascii="Arial" w:hAnsi="Arial" w:eastAsia="Arial" w:cs="Arial"/>
                <w:color w:val="auto"/>
                <w:lang w:val="en-GB" w:eastAsia="en-GB" w:bidi="en-GB"/>
              </w:rPr>
              <w:t xml:space="preserve">The post holder is responsible for maintaining a safe work environment and ensuring as far as reasonably practicable that safe working practices are adopted by employees within this work environment.</w:t>
            </w:r>
          </w:p>
          <w:p>
            <w:pPr>
              <w:pStyle w:val="BODY"/>
              <w:numPr>
                <w:ilvl w:val="0"/>
                <w:numId w:val="3"/>
              </w:numP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  <w:spacing w:line="240" w:lineRule="atLeast"/>
              <w:ind w:left="360" w:hanging="3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Safeguarding – The Council is committed to meeting its statutory and</w:t>
            </w:r>
          </w:p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  <w:spacing w:line="24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moral duties to safeguard and promote the welfare of children, young</w:t>
            </w:r>
          </w:p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  <w:spacing w:line="240" w:lineRule="atLeast"/>
            </w:pPr>
            <w:r>
              <w:rPr>
                <w:color w:val="000000"/>
                <w:sz w:val="22"/>
                <w:szCs w:val="22"/>
              </w:rPr>
              <w:t xml:space="preserve">     people under 18 years of age and adults at risk who are the recipients           of its services and/or activities.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left="360" w:right="229" w:hanging="360"/>
              <w:jc w:val="both"/>
              <w:rPr>
                <w:rFonts w:ascii="Arial" w:hAnsi="Arial" w:eastAsia="Arial" w:cs="Arial"/>
                <w:color w:val="auto"/>
                <w:lang w:val="en-GB" w:eastAsia="en-GB" w:bidi="en-GB"/>
              </w:rPr>
            </w:pPr>
            <w:r>
              <w:rPr>
                <w:rFonts w:ascii="Arial" w:hAnsi="Arial" w:eastAsia="Arial" w:cs="Arial"/>
                <w:color w:val="auto"/>
                <w:lang w:val="en-GB" w:eastAsia="en-GB" w:bidi="en-GB"/>
              </w:rPr>
              <w:t xml:space="preserve">Work in compliance with the Codes of Conduct, Regulations and policies of the council.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left="360" w:right="229" w:hanging="360"/>
              <w:jc w:val="both"/>
              <w:rPr>
                <w:rFonts w:ascii="Arial" w:hAnsi="Arial" w:eastAsia="Arial" w:cs="Arial"/>
                <w:color w:val="auto"/>
                <w:lang w:val="en-GB" w:eastAsia="en-GB" w:bidi="en-GB"/>
              </w:rPr>
            </w:pPr>
            <w:r>
              <w:rPr>
                <w:rFonts w:ascii="Arial" w:hAnsi="Arial" w:eastAsia="Arial" w:cs="Arial"/>
                <w:color w:val="auto"/>
                <w:lang w:val="en-GB" w:eastAsia="en-GB" w:bidi="en-GB"/>
              </w:rPr>
              <w:t xml:space="preserve">To support the response to a major incident, including taking up a designated role within the emergency management framework.</w:t>
            </w:r>
          </w:p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0" w:line="240" w:lineRule="auto"/>
              <w:ind w:right="229"/>
              <w:jc w:val="both"/>
              <w:rPr>
                <w:rFonts w:ascii="Arial" w:hAnsi="Arial" w:eastAsia="Arial" w:cs="Arial"/>
                <w:color w:val="auto"/>
                <w:lang w:val="en-GB" w:eastAsia="en-GB" w:bidi="en-GB"/>
              </w:rPr>
            </w:pPr>
          </w:p>
        </w:tc>
      </w:tr>
      <w:tr>
        <w:tc>
          <w:tcPr>
            <w:tcW w:w="2512" w:type="dxa"/>
            <w:tcBorders>
              <w:bottom w:val="single" w:sz="4" w:space="0" w:color="auto"/>
            </w:tcBorders>
            <w:shd w:val="clear" w:color="auto" w:fill="auto"/>
            <w:vAlign w:val="top"/>
          </w:tcPr>
          <w:p>
            <w:pPr>
              <w:pStyle w:val="Normal"/>
              <w:tabs>
                <w:tab w:val="left" w:pos="2"/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</w:tabs>
              <w:spacing w:after="240" w:line="238" w:lineRule="auto"/>
              <w:ind w:left="2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Special Conditions: </w:t>
            </w:r>
          </w:p>
          <w:p>
            <w:pPr>
              <w:pStyle w:val="Normal"/>
              <w:tabs>
                <w:tab w:val="left" w:pos="2"/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</w:tabs>
              <w:spacing w:after="0" w:line="240" w:lineRule="auto"/>
              <w:ind w:left="2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</w:p>
        </w:tc>
        <w:tc>
          <w:tcPr>
            <w:tcW w:w="7574" w:type="dxa"/>
            <w:tcBorders>
              <w:bottom w:val="single" w:sz="4" w:space="0" w:color="auto"/>
            </w:tcBorders>
            <w:shd w:val="clear" w:color="auto" w:fill="auto"/>
            <w:vAlign w:val="top"/>
          </w:tcPr>
          <w:p>
            <w:pPr>
              <w:pStyle w:val="ListParagraph"/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right="229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right="229"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You will be expected to work reasonable additional hours in line with the needs of the service.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right="229"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Full UK Driving Licence.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right="229" w:hanging="360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Ability to travel / access to a vehicle for work purposes.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720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</w:tabs>
              <w:spacing w:after="0" w:line="240" w:lineRule="auto"/>
              <w:ind w:right="229" w:hanging="360"/>
              <w:jc w:val="both"/>
              <w:rPr>
                <w:rFonts w:ascii="Arial" w:hAnsi="Arial" w:eastAsia="Arial" w:cs="Arial"/>
                <w:color w:val="auto"/>
                <w:lang w:val="en-GB" w:eastAsia="en-GB" w:bidi="en-GB"/>
              </w:rPr>
            </w:pPr>
            <w:r>
              <w:rPr>
                <w:rFonts w:ascii="Arial" w:hAnsi="Arial" w:eastAsia="Arial" w:cs="Arial"/>
                <w:color w:val="auto"/>
                <w:lang w:val="en-GB" w:eastAsia="en-GB" w:bidi="en-GB"/>
              </w:rPr>
              <w:t xml:space="preserve">Politically restricted postholders are restricted from canvassing on behalf of a political party or for a person who is, or seeks to be, a candidate for election to a local authority, the House of Commons, or the European Parliament.</w:t>
            </w:r>
          </w:p>
          <w:p>
            <w:pPr>
              <w:pStyle w:val="ListParagraph"/>
              <w:tabs>
                <w:tab w:val="left" w:pos="26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  <w:tab w:val="left" w:pos="855"/>
                <w:tab w:val="left" w:pos="912"/>
                <w:tab w:val="left" w:pos="969"/>
                <w:tab w:val="left" w:pos="1026"/>
              </w:tabs>
              <w:spacing w:after="0" w:line="240" w:lineRule="auto"/>
              <w:ind w:left="265" w:right="229"/>
              <w:jc w:val="both"/>
              <w:rPr>
                <w:rFonts w:ascii="Arial" w:hAnsi="Arial" w:eastAsia="Arial" w:cs="Arial"/>
                <w:lang w:val="en-GB" w:eastAsia="en-GB" w:bidi="en-GB"/>
              </w:rPr>
            </w:pPr>
          </w:p>
        </w:tc>
      </w:tr>
    </w:tbl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1"/>
        <w:gridCol w:w="2400"/>
        <w:gridCol w:w="1843"/>
        <w:gridCol w:w="3322"/>
      </w:tblGrid>
      <w:tr>
        <w:tc>
          <w:tcPr>
            <w:tcW w:w="2521" w:type="dxa"/>
            <w:tcBorders>
              <w:top w:val="single" w:sz="4" w:space="0" w:color="auto"/>
            </w:tcBorders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0" w:line="240" w:lineRule="auto"/>
              <w:ind w:right="229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Date Reviewed:</w:t>
            </w:r>
          </w:p>
        </w:tc>
        <w:tc>
          <w:tcPr>
            <w:tcW w:w="2400" w:type="dxa"/>
            <w:tcBorders>
              <w:top w:val="single" w:sz="4" w:space="0" w:color="auto"/>
            </w:tcBorders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0" w:line="240" w:lineRule="auto"/>
              <w:ind w:right="229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August 2026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0" w:line="240" w:lineRule="auto"/>
              <w:ind w:right="229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Reviewed By:</w:t>
            </w:r>
          </w:p>
        </w:tc>
        <w:tc>
          <w:tcPr>
            <w:tcW w:w="3322" w:type="dxa"/>
            <w:tcBorders>
              <w:top w:val="single" w:sz="4" w:space="0" w:color="auto"/>
            </w:tcBorders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0" w:line="240" w:lineRule="auto"/>
              <w:ind w:right="229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Abby Fettes </w:t>
            </w:r>
          </w:p>
        </w:tc>
      </w:tr>
      <w:tr>
        <w:tc>
          <w:tcPr>
            <w:tcW w:w="2521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0" w:line="240" w:lineRule="auto"/>
              <w:ind w:right="229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Checked by HRBP</w:t>
            </w:r>
          </w:p>
        </w:tc>
        <w:tc>
          <w:tcPr>
            <w:tcW w:w="2400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0" w:line="240" w:lineRule="auto"/>
              <w:ind w:right="229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Kathryn Dowell</w:t>
            </w:r>
          </w:p>
        </w:tc>
        <w:tc>
          <w:tcPr>
            <w:tcW w:w="1843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0" w:line="240" w:lineRule="auto"/>
              <w:ind w:right="229"/>
              <w:rPr>
                <w:rFonts w:ascii="Arial" w:hAnsi="Arial" w:eastAsia="Arial" w:cs="Arial"/>
                <w:b/>
                <w:bCs/>
                <w:lang w:val="en-GB" w:eastAsia="en-GB" w:bidi="en-GB"/>
              </w:rPr>
            </w:pPr>
            <w:r>
              <w:rPr>
                <w:rFonts w:ascii="Arial" w:hAnsi="Arial" w:eastAsia="Arial" w:cs="Arial"/>
                <w:b/>
                <w:bCs/>
                <w:lang w:val="en-GB" w:eastAsia="en-GB" w:bidi="en-GB"/>
              </w:rPr>
              <w:t xml:space="preserve">Date of Issue:</w:t>
            </w:r>
          </w:p>
        </w:tc>
        <w:tc>
          <w:tcPr>
            <w:tcW w:w="332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</w:tabs>
              <w:spacing w:after="0" w:line="240" w:lineRule="auto"/>
              <w:ind w:right="229"/>
              <w:rPr>
                <w:rFonts w:ascii="Arial" w:hAnsi="Arial" w:eastAsia="Arial" w:cs="Arial"/>
                <w:lang w:val="en-GB" w:eastAsia="en-GB" w:bidi="en-GB"/>
              </w:rPr>
            </w:pPr>
            <w:r>
              <w:rPr>
                <w:rFonts w:ascii="Arial" w:hAnsi="Arial" w:eastAsia="Arial" w:cs="Arial"/>
                <w:lang w:val="en-GB" w:eastAsia="en-GB" w:bidi="en-GB"/>
              </w:rPr>
              <w:t xml:space="preserve">August 2026</w:t>
            </w:r>
          </w:p>
        </w:tc>
      </w:tr>
    </w:tbl>
    <w:p>
      <w:pPr>
        <w:pStyle w:val="Normal"/>
        <w:tabs>
          <w:tab w:val="left" w:pos="57"/>
          <w:tab w:val="left" w:pos="114"/>
          <w:tab w:val="left" w:pos="171"/>
          <w:tab w:val="left" w:pos="228"/>
          <w:tab w:val="left" w:pos="285"/>
          <w:tab w:val="left" w:pos="342"/>
          <w:tab w:val="left" w:pos="399"/>
          <w:tab w:val="left" w:pos="456"/>
          <w:tab w:val="left" w:pos="513"/>
          <w:tab w:val="left" w:pos="570"/>
          <w:tab w:val="left" w:pos="627"/>
          <w:tab w:val="left" w:pos="684"/>
          <w:tab w:val="left" w:pos="741"/>
          <w:tab w:val="left" w:pos="798"/>
        </w:tabs>
        <w:spacing w:after="0"/>
        <w:rPr>
          <w:rFonts w:ascii="Arial" w:hAnsi="Arial" w:eastAsia="Arial" w:cs="Arial"/>
          <w:lang w:val="en-GB" w:eastAsia="en-GB" w:bidi="en-GB"/>
        </w:rPr>
      </w:pPr>
    </w:p>
    <w:p>
      <w:pPr>
        <w:pStyle w:val="Normal"/>
        <w:tabs>
          <w:tab w:val="left" w:pos="799"/>
          <w:tab w:val="left" w:pos="855"/>
          <w:tab w:val="left" w:pos="912"/>
          <w:tab w:val="left" w:pos="969"/>
          <w:tab w:val="left" w:pos="1026"/>
          <w:tab w:val="left" w:pos="1083"/>
          <w:tab w:val="left" w:pos="1140"/>
          <w:tab w:val="left" w:pos="1197"/>
          <w:tab w:val="left" w:pos="1254"/>
          <w:tab w:val="left" w:pos="1311"/>
          <w:tab w:val="left" w:pos="1368"/>
          <w:tab w:val="left" w:pos="1425"/>
          <w:tab w:val="left" w:pos="1482"/>
          <w:tab w:val="left" w:pos="1539"/>
        </w:tabs>
        <w:spacing w:after="0"/>
        <w:ind w:left="799"/>
        <w:jc w:val="both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 </w:t>
      </w:r>
    </w:p>
    <w:p>
      <w:pPr>
        <w:pStyle w:val="Normal"/>
        <w:tabs>
          <w:tab w:val="left" w:pos="799"/>
          <w:tab w:val="left" w:pos="855"/>
          <w:tab w:val="left" w:pos="912"/>
          <w:tab w:val="left" w:pos="969"/>
          <w:tab w:val="left" w:pos="1026"/>
          <w:tab w:val="left" w:pos="1083"/>
          <w:tab w:val="left" w:pos="1140"/>
          <w:tab w:val="left" w:pos="1197"/>
          <w:tab w:val="left" w:pos="1254"/>
          <w:tab w:val="left" w:pos="1311"/>
          <w:tab w:val="left" w:pos="1368"/>
          <w:tab w:val="left" w:pos="1425"/>
          <w:tab w:val="left" w:pos="1482"/>
          <w:tab w:val="left" w:pos="1539"/>
        </w:tabs>
        <w:spacing w:after="215"/>
        <w:ind w:left="799"/>
        <w:jc w:val="both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 </w:t>
      </w:r>
    </w:p>
    <w:p>
      <w:pPr>
        <w:pStyle w:val="Normal"/>
        <w:tabs>
          <w:tab w:val="left" w:pos="57"/>
          <w:tab w:val="left" w:pos="114"/>
          <w:tab w:val="left" w:pos="171"/>
          <w:tab w:val="left" w:pos="228"/>
          <w:tab w:val="left" w:pos="285"/>
          <w:tab w:val="left" w:pos="342"/>
          <w:tab w:val="left" w:pos="399"/>
          <w:tab w:val="left" w:pos="456"/>
          <w:tab w:val="left" w:pos="513"/>
          <w:tab w:val="left" w:pos="570"/>
          <w:tab w:val="left" w:pos="627"/>
          <w:tab w:val="left" w:pos="684"/>
          <w:tab w:val="left" w:pos="741"/>
          <w:tab w:val="left" w:pos="798"/>
        </w:tabs>
        <w:spacing w:after="0"/>
        <w:ind w:right="129"/>
        <w:jc w:val="right"/>
        <w:rPr>
          <w:rFonts w:ascii="Arial" w:hAnsi="Arial" w:eastAsia="Arial" w:cs="Arial"/>
          <w:lang w:val="en-GB" w:eastAsia="en-GB" w:bidi="en-GB"/>
        </w:rPr>
      </w:pPr>
      <w:r>
        <w:rPr>
          <w:rFonts w:ascii="Arial" w:hAnsi="Arial" w:eastAsia="Arial" w:cs="Arial"/>
          <w:lang w:val="en-GB" w:eastAsia="en-GB" w:bidi="en-GB"/>
        </w:rPr>
        <w:t xml:space="preserve"> </w:t>
      </w:r>
    </w:p>
    <w:p>
      <w:pPr>
        <w:pStyle w:val="Normal"/>
        <w:tabs>
          <w:tab w:val="left" w:pos="57"/>
          <w:tab w:val="left" w:pos="114"/>
          <w:tab w:val="left" w:pos="171"/>
          <w:tab w:val="left" w:pos="228"/>
          <w:tab w:val="left" w:pos="285"/>
          <w:tab w:val="left" w:pos="342"/>
          <w:tab w:val="left" w:pos="399"/>
          <w:tab w:val="left" w:pos="456"/>
          <w:tab w:val="left" w:pos="513"/>
          <w:tab w:val="left" w:pos="570"/>
          <w:tab w:val="left" w:pos="627"/>
          <w:tab w:val="left" w:pos="684"/>
          <w:tab w:val="left" w:pos="741"/>
          <w:tab w:val="left" w:pos="798"/>
        </w:tabs>
        <w:spacing w:after="0"/>
        <w:ind w:right="129"/>
        <w:jc w:val="right"/>
        <w:rPr>
          <w:rFonts w:ascii="Arial" w:hAnsi="Arial" w:eastAsia="Arial" w:cs="Arial"/>
          <w:lang w:val="en-GB" w:eastAsia="en-GB" w:bidi="en-GB"/>
        </w:rPr>
      </w:pPr>
    </w:p>
    <w:sectPr>
      <w:pgSz w:w="11906" w:h="16838"/>
      <w:pgMar w:top="829" w:right="1066" w:bottom="567" w:left="567" w:header="720" w:footer="555"/>
      <w15:footnoteColumns w:val="1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200001FF" w:csb1="00000000"/>
  </w:font>
</w:fonts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suff w:val="tab"/>
      <w:lvlText w:val=""/>
      <w:pPr>
        <w:ind w:left="720" w:hanging="360"/>
        <w:tabs>
          <w:tab w:val="num" w:pos="720"/>
        </w:tabs>
      </w:pPr>
      <w:rPr>
        <w:rFonts w:hint="default" w:ascii="Symbol" w:hAnsi="Symbol" w:eastAsia="Symbol" w:cs="Symbol"/>
        <w:b w:val="off"/>
        <w:i w:val="off"/>
        <w:strike w:val="off"/>
        <w:color w:val="000000"/>
        <w:position w:val="0"/>
        <w:sz w:val="22"/>
        <w:u w:val="none"/>
        <w:shd w:val="clear" w:color="auto" w:fill="auto"/>
      </w:rPr>
    </w:lvl>
  </w:abstractNum>
  <w:abstractNum w:abstractNumId="1">
    <w:multiLevelType w:val="single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 w:cs="Symbol"/>
        <w:b w:val="off"/>
        <w:i w:val="off"/>
        <w:strike w:val="off"/>
        <w:color w:val="auto"/>
        <w:position w:val="0"/>
        <w:sz w:val="22"/>
        <w:u w:val="none"/>
        <w:shd w:val="clear" w:color="auto" w:fill="auto"/>
      </w:rPr>
    </w:lvl>
  </w:abstractNum>
  <w:abstractNum w:abstractNumId="2">
    <w:multiLevelType w:val="single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 w:cs="Symbol"/>
        <w:b w:val="off"/>
        <w:i w:val="off"/>
        <w:strike w:val="off"/>
        <w:color w:val="000000"/>
        <w:position w:val="0"/>
        <w:sz w:val="22"/>
        <w:u w:val="none"/>
        <w:shd w:val="clear" w:color="auto" w:fill="auto"/>
      </w:rPr>
    </w:lvl>
  </w:abstractNum>
  <w:abstractNum w:abstractNumId="3">
    <w:multiLevelType w:val="singleLevel"/>
    <w:lvl w:ilvl="0">
      <w:start w:val="1"/>
      <w:numFmt w:val="bullet"/>
      <w:suff w:val="tab"/>
      <w:lvlText w:val=""/>
      <w:pPr>
        <w:ind w:left="720" w:hanging="360"/>
        <w:tabs>
          <w:tab w:val="num" w:pos="720"/>
        </w:tabs>
      </w:pPr>
      <w:rPr>
        <w:rFonts w:hint="default" w:ascii="Symbol" w:hAnsi="Symbol" w:eastAsia="Symbol" w:cs="Symbol"/>
        <w:b w:val="off"/>
        <w:i w:val="off"/>
        <w:strike w:val="off"/>
        <w:color w:val="auto"/>
        <w:position w:val="0"/>
        <w:sz w:val="22"/>
        <w:u w:val="none"/>
        <w:shd w:val="clear" w:color="auto" w:fil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defaultTabStop w:val="1134"/>
  <w:compat>
    <w:noExtraLineSpacing/>
    <w:doNotUseHTMLParagraphAutoSpacing/>
    <w:compatSetting w:name="compatibilityMode" w:uri="http://schemas.microsoft.com/office/word" w:val="15"/>
  </w:compat>
  <tx24:txVer tx24:val="32.0.434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customStyle="1">
    <w:name w:val="[Normal]"/>
    <w:basedOn w:val="Normal"/>
    <w:next w:val="[Normal]"/>
    <w:qFormat/>
    <w:pPr>
      <w:widowControl w:val="off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hAnsi="Arial" w:eastAsia="Arial" w:cs="Arial"/>
      <w:color w:val="auto"/>
      <w:sz w:val="20"/>
      <w:szCs w:val="20"/>
      <w:lang w:val="en-GB" w:eastAsia="en-GB" w:bidi="en-GB"/>
    </w:rPr>
  </w:style>
  <w:style w:type="paragraph" w:styleId="Normal">
    <w:name w:val="Normal"/>
    <w:next w:val="Normal"/>
    <w:qFormat/>
    <w:pPr>
      <w:widowControl w:val="on"/>
      <w:shd w:val="clear" w:color="auto" w:fill="auto"/>
      <w:spacing w:before="0" w:after="160" w:line="259" w:lineRule="auto"/>
      <w:ind w:left="0" w:right="0" w:firstLine="0"/>
      <w:jc w:val="left"/>
      <w:outlineLvl w:val="9"/>
    </w:pPr>
    <w:rPr>
      <w:rFonts w:ascii="Calibri" w:hAnsi="Calibri" w:eastAsia="Calibri" w:cs="Calibri"/>
      <w:b w:val="off"/>
      <w:bCs w:val="off"/>
      <w:i w:val="off"/>
      <w:iCs w:val="off"/>
      <w:caps w:val="off"/>
      <w:smallCaps w:val="off"/>
      <w:strike w:val="off"/>
      <w:color w:val="000000"/>
      <w:spacing w:val="0"/>
      <w:w w:val="100"/>
      <w:position w:val="0"/>
      <w:sz w:val="22"/>
      <w:szCs w:val="22"/>
      <w:shd w:val="clear" w:color="auto" w:fill="auto"/>
      <w:vertAlign w:val="baseline"/>
      <w:rtl w:val="off"/>
      <w:lang w:val="en-GB" w:eastAsia="en-GB" w:bidi="en-GB"/>
    </w:rPr>
  </w:style>
  <w:style w:type="paragraph" w:styleId="ListParagraph">
    <w:name w:val="List Paragraph"/>
    <w:basedOn w:val="Normal"/>
    <w:next w:val="ListParagraph"/>
    <w:qFormat/>
    <w:pPr>
      <w:ind w:left="720"/>
    </w:pPr>
    <w:rPr>
      <w:lang w:val="en-GB" w:eastAsia="en-GB" w:bidi="en-GB"/>
    </w:rPr>
  </w:style>
  <w:style w:type="paragraph" w:styleId="Header">
    <w:name w:val="header"/>
    <w:basedOn w:val="Normal"/>
    <w:next w:val="Header"/>
    <w:qFormat/>
    <w:pPr>
      <w:tabs>
        <w:tab w:val="center" w:pos="4513"/>
        <w:tab w:val="right" w:pos="9026"/>
      </w:tabs>
      <w:spacing w:after="0" w:line="240" w:lineRule="auto"/>
    </w:pPr>
    <w:rPr>
      <w:lang w:val="en-GB" w:eastAsia="en-GB" w:bidi="en-GB"/>
    </w:rPr>
  </w:style>
  <w:style w:type="paragraph" w:styleId="Footer">
    <w:name w:val="footer"/>
    <w:basedOn w:val="Normal"/>
    <w:next w:val="Footer"/>
    <w:qFormat/>
    <w:pPr>
      <w:tabs>
        <w:tab w:val="center" w:pos="4513"/>
        <w:tab w:val="right" w:pos="9026"/>
      </w:tabs>
      <w:spacing w:after="0" w:line="240" w:lineRule="auto"/>
    </w:pPr>
    <w:rPr>
      <w:lang w:val="en-GB" w:eastAsia="en-GB" w:bidi="en-GB"/>
    </w:rPr>
  </w:style>
  <w:style w:type="paragraph" w:styleId="CommentText">
    <w:name w:val="annotation text"/>
    <w:basedOn w:val="Normal"/>
    <w:next w:val="CommentText"/>
    <w:qFormat/>
    <w:pPr>
      <w:spacing w:line="240" w:lineRule="auto"/>
    </w:pPr>
    <w:rPr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qFormat/>
    <w:pPr/>
    <w:rPr>
      <w:b/>
      <w:bCs/>
      <w:lang w:val="en-GB" w:eastAsia="en-GB" w:bidi="en-GB"/>
    </w:rPr>
  </w:style>
  <w:style w:type="character" w:styleId="Header Char" w:customStyle="1">
    <w:name w:val="Header Char"/>
    <w:qFormat/>
    <w:rPr>
      <w:rFonts w:ascii="Calibri" w:hAnsi="Calibri" w:eastAsia="Calibri" w:cs="Calibri"/>
      <w:color w:val="000000"/>
      <w:rtl w:val="off"/>
    </w:rPr>
  </w:style>
  <w:style w:type="character" w:styleId="Footer Char" w:customStyle="1">
    <w:name w:val="Footer Char"/>
    <w:qFormat/>
    <w:rPr>
      <w:rFonts w:ascii="Calibri" w:hAnsi="Calibri" w:eastAsia="Calibri" w:cs="Calibri"/>
      <w:color w:val="000000"/>
      <w:rtl w:val="off"/>
    </w:rPr>
  </w:style>
  <w:style w:type="character" w:styleId="CommentReference">
    <w:name w:val="annotation reference"/>
    <w:qFormat/>
    <w:rPr>
      <w:sz w:val="16"/>
      <w:szCs w:val="16"/>
      <w:rtl w:val="off"/>
    </w:rPr>
  </w:style>
  <w:style w:type="character" w:styleId="Comment Text Char" w:customStyle="1">
    <w:name w:val="Comment Text Char"/>
    <w:qFormat/>
    <w:rPr>
      <w:rFonts w:ascii="Calibri" w:hAnsi="Calibri" w:eastAsia="Calibri" w:cs="Calibri"/>
      <w:color w:val="000000"/>
      <w:sz w:val="20"/>
      <w:szCs w:val="20"/>
      <w:rtl w:val="off"/>
    </w:rPr>
  </w:style>
  <w:style w:type="character" w:styleId="Comment Subject Char" w:customStyle="1">
    <w:name w:val="Comment Subject Char"/>
    <w:basedOn w:val="Comment Text Char"/>
    <w:qFormat/>
    <w:rPr>
      <w:rFonts w:ascii="Calibri" w:hAnsi="Calibri" w:eastAsia="Calibri" w:cs="Calibri"/>
      <w:b/>
      <w:bCs/>
      <w:color w:val="000000"/>
      <w:sz w:val="20"/>
      <w:szCs w:val="20"/>
    </w:rPr>
  </w:style>
  <w:style w:type="paragraph" w:styleId="Revision">
    <w:name w:val="Revision"/>
    <w:basedOn w:val="[Normal]"/>
    <w:next w:val="Revision"/>
    <w:qFormat/>
    <w:pPr>
      <w:widowControl w:val="on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rFonts w:ascii="Calibri" w:hAnsi="Calibri" w:eastAsia="Calibri" w:cs="Calibri"/>
      <w:color w:val="000000"/>
      <w:sz w:val="22"/>
      <w:szCs w:val="22"/>
      <w:lang w:val="en-GB" w:eastAsia="en-GB" w:bidi="en-GB"/>
    </w:rPr>
  </w:style>
  <w:style w:type="paragraph" w:styleId="BODY" w:customStyle="1">
    <w:name w:val="BODY"/>
    <w:basedOn w:val="[Normal]"/>
    <w:next w:val="BODY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sz w:val="24"/>
      <w:szCs w:val="24"/>
    </w:rPr>
  </w:style>
</w:styles>
</file>

<file path=word/_rels/document.xml.rels><?xml version="1.0" encoding="UTF-8" standalone="yes"?><Relationships xmlns="http://schemas.openxmlformats.org/package/2006/relationships">
	<Relationship Id="rId00004" Type="http://schemas.openxmlformats.org/officeDocument/2006/relationships/styles" Target="styles.xml"/>
	<Relationship Id="rId00005" Type="http://schemas.openxmlformats.org/officeDocument/2006/relationships/image" Target="media/image0001.jpg"/>
	<Relationship Id="rId00006" Type="http://schemas.openxmlformats.org/officeDocument/2006/relationships/numbering" Target="numbering.xml"/>
	<Relationship Id="rId00007" Type="http://schemas.openxmlformats.org/officeDocument/2006/relationships/fontTable" Target="fontTable.xml"/>
	<Relationship Id="rId00008" Type="http://schemas.openxmlformats.org/officeDocument/2006/relationships/settings" Target="settings.xm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Website document</dc:title>
  <dc:subject>Add subject</dc:subject>
  <cp:keywords>Add keywords</cp:keywords>
  <dc:creator>Nickie Mackenzie Daste</dc:creator>
  <dcterms:created xsi:type="dcterms:W3CDTF">2025-11-04T10:37:00Z</dcterms:created>
</cp:coreProperties>
</file>